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69" w:rsidRDefault="00161A50" w:rsidP="008B0DCF">
      <w:pPr>
        <w:pStyle w:val="Cm"/>
        <w:rPr>
          <w:sz w:val="32"/>
        </w:rPr>
      </w:pPr>
      <w:r>
        <w:rPr>
          <w:sz w:val="32"/>
        </w:rPr>
        <w:t>A Budapesti Vívó Szövetség 2012</w:t>
      </w:r>
      <w:r w:rsidR="00676369">
        <w:rPr>
          <w:sz w:val="32"/>
        </w:rPr>
        <w:t xml:space="preserve">. évi </w:t>
      </w:r>
      <w:r w:rsidR="00ED7E12">
        <w:rPr>
          <w:sz w:val="32"/>
        </w:rPr>
        <w:t>tényköltsége</w:t>
      </w:r>
    </w:p>
    <w:p w:rsidR="00676369" w:rsidRDefault="00676369"/>
    <w:p w:rsidR="00676369" w:rsidRDefault="00161A50">
      <w:pPr>
        <w:rPr>
          <w:b/>
          <w:bCs/>
          <w:sz w:val="28"/>
        </w:rPr>
      </w:pPr>
      <w:r>
        <w:rPr>
          <w:b/>
          <w:bCs/>
          <w:sz w:val="28"/>
        </w:rPr>
        <w:t>2012</w:t>
      </w:r>
      <w:r w:rsidR="00AD5234">
        <w:rPr>
          <w:b/>
          <w:bCs/>
          <w:sz w:val="28"/>
        </w:rPr>
        <w:t>.01.0</w:t>
      </w:r>
      <w:r w:rsidR="00676369">
        <w:rPr>
          <w:b/>
          <w:bCs/>
          <w:sz w:val="28"/>
        </w:rPr>
        <w:t>1</w:t>
      </w:r>
      <w:r w:rsidR="00AD5234">
        <w:rPr>
          <w:b/>
          <w:bCs/>
          <w:sz w:val="28"/>
        </w:rPr>
        <w:t>. banki nyitó pénzkészlet</w:t>
      </w:r>
      <w:proofErr w:type="gramStart"/>
      <w:r w:rsidR="00676369">
        <w:rPr>
          <w:b/>
          <w:bCs/>
          <w:sz w:val="28"/>
        </w:rPr>
        <w:t>:</w:t>
      </w:r>
      <w:r w:rsidR="00987C2A">
        <w:rPr>
          <w:b/>
          <w:bCs/>
          <w:sz w:val="28"/>
        </w:rPr>
        <w:t xml:space="preserve"> </w:t>
      </w:r>
      <w:r w:rsidR="001A3865">
        <w:rPr>
          <w:b/>
          <w:bCs/>
          <w:sz w:val="28"/>
        </w:rPr>
        <w:t xml:space="preserve"> </w:t>
      </w:r>
      <w:r w:rsidR="004552B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180</w:t>
      </w:r>
      <w:r w:rsidR="00AD5234">
        <w:rPr>
          <w:b/>
          <w:bCs/>
          <w:sz w:val="28"/>
        </w:rPr>
        <w:t>.</w:t>
      </w:r>
      <w:proofErr w:type="gramEnd"/>
      <w:r>
        <w:rPr>
          <w:b/>
          <w:bCs/>
          <w:sz w:val="28"/>
        </w:rPr>
        <w:t>503</w:t>
      </w:r>
      <w:r w:rsidR="00AD5234">
        <w:rPr>
          <w:b/>
          <w:bCs/>
          <w:sz w:val="28"/>
        </w:rPr>
        <w:t>.- Ft.</w:t>
      </w:r>
    </w:p>
    <w:p w:rsidR="008932A9" w:rsidRPr="004552BC" w:rsidRDefault="008932A9">
      <w:pPr>
        <w:rPr>
          <w:b/>
          <w:bCs/>
          <w:sz w:val="28"/>
        </w:rPr>
      </w:pPr>
      <w:r w:rsidRPr="004552BC">
        <w:rPr>
          <w:b/>
          <w:bCs/>
          <w:sz w:val="28"/>
        </w:rPr>
        <w:t xml:space="preserve">                 </w:t>
      </w:r>
      <w:r w:rsidR="00987C2A" w:rsidRPr="004552BC">
        <w:rPr>
          <w:b/>
          <w:bCs/>
          <w:sz w:val="28"/>
        </w:rPr>
        <w:t xml:space="preserve"> </w:t>
      </w:r>
      <w:proofErr w:type="gramStart"/>
      <w:r w:rsidRPr="004552BC">
        <w:rPr>
          <w:b/>
          <w:bCs/>
          <w:sz w:val="28"/>
        </w:rPr>
        <w:t>pénztár</w:t>
      </w:r>
      <w:proofErr w:type="gramEnd"/>
      <w:r w:rsidRPr="004552BC">
        <w:rPr>
          <w:b/>
          <w:bCs/>
          <w:sz w:val="28"/>
        </w:rPr>
        <w:t xml:space="preserve"> nyitó pénzkészlet: </w:t>
      </w:r>
      <w:r w:rsidR="00987C2A" w:rsidRPr="004552BC">
        <w:rPr>
          <w:b/>
          <w:bCs/>
          <w:sz w:val="28"/>
        </w:rPr>
        <w:t xml:space="preserve">      </w:t>
      </w:r>
      <w:r w:rsidR="004552BC" w:rsidRPr="004552BC">
        <w:rPr>
          <w:b/>
          <w:bCs/>
          <w:sz w:val="28"/>
        </w:rPr>
        <w:t xml:space="preserve">  </w:t>
      </w:r>
      <w:r w:rsidRPr="004552BC">
        <w:rPr>
          <w:b/>
          <w:bCs/>
          <w:sz w:val="28"/>
        </w:rPr>
        <w:t>795.- Ft</w:t>
      </w:r>
    </w:p>
    <w:p w:rsidR="008932A9" w:rsidRPr="004552BC" w:rsidRDefault="00987C2A">
      <w:pPr>
        <w:rPr>
          <w:b/>
          <w:bCs/>
          <w:sz w:val="28"/>
        </w:rPr>
      </w:pPr>
      <w:r w:rsidRPr="004552BC">
        <w:rPr>
          <w:b/>
          <w:bCs/>
          <w:sz w:val="28"/>
        </w:rPr>
        <w:t xml:space="preserve">                                </w:t>
      </w:r>
      <w:proofErr w:type="gramStart"/>
      <w:r w:rsidRPr="004552BC">
        <w:rPr>
          <w:b/>
          <w:bCs/>
          <w:sz w:val="28"/>
        </w:rPr>
        <w:t>nyitó</w:t>
      </w:r>
      <w:proofErr w:type="gramEnd"/>
      <w:r w:rsidRPr="004552BC">
        <w:rPr>
          <w:b/>
          <w:bCs/>
          <w:sz w:val="28"/>
        </w:rPr>
        <w:t xml:space="preserve"> pénzkészlet:  181.298.-Ft</w:t>
      </w:r>
    </w:p>
    <w:p w:rsidR="006654E1" w:rsidRDefault="006654E1"/>
    <w:p w:rsidR="00676369" w:rsidRDefault="00676369">
      <w:pPr>
        <w:pStyle w:val="Cmsor1"/>
      </w:pPr>
      <w:r>
        <w:t xml:space="preserve">BEVÉTEL: </w:t>
      </w:r>
    </w:p>
    <w:p w:rsidR="001A3865" w:rsidRPr="001A3865" w:rsidRDefault="001A3865" w:rsidP="001A3865"/>
    <w:tbl>
      <w:tblPr>
        <w:tblW w:w="0" w:type="auto"/>
        <w:tblLook w:val="01E0"/>
      </w:tblPr>
      <w:tblGrid>
        <w:gridCol w:w="1383"/>
        <w:gridCol w:w="5053"/>
        <w:gridCol w:w="2852"/>
      </w:tblGrid>
      <w:tr w:rsidR="001A3865" w:rsidRPr="00C85987" w:rsidTr="00C85987">
        <w:tc>
          <w:tcPr>
            <w:tcW w:w="6436" w:type="dxa"/>
            <w:gridSpan w:val="2"/>
            <w:vMerge w:val="restart"/>
          </w:tcPr>
          <w:p w:rsidR="001A3865" w:rsidRPr="00C85987" w:rsidRDefault="00683A26" w:rsidP="00C85987">
            <w:pPr>
              <w:spacing w:line="360" w:lineRule="auto"/>
              <w:jc w:val="both"/>
              <w:rPr>
                <w:sz w:val="28"/>
              </w:rPr>
            </w:pPr>
            <w:r w:rsidRPr="00C85987">
              <w:rPr>
                <w:sz w:val="28"/>
              </w:rPr>
              <w:t>1. Önkormányzati támogatás:</w:t>
            </w:r>
          </w:p>
          <w:p w:rsidR="001A3865" w:rsidRPr="00C85987" w:rsidRDefault="00683A26" w:rsidP="00C85987">
            <w:pPr>
              <w:spacing w:line="360" w:lineRule="auto"/>
              <w:jc w:val="both"/>
              <w:rPr>
                <w:sz w:val="28"/>
              </w:rPr>
            </w:pPr>
            <w:r w:rsidRPr="00C85987">
              <w:rPr>
                <w:sz w:val="28"/>
              </w:rPr>
              <w:t>2. Reklám:</w:t>
            </w:r>
          </w:p>
          <w:p w:rsidR="001A3865" w:rsidRPr="00C85987" w:rsidRDefault="001A3865" w:rsidP="00C85987">
            <w:pPr>
              <w:spacing w:line="360" w:lineRule="auto"/>
              <w:jc w:val="both"/>
              <w:rPr>
                <w:sz w:val="28"/>
              </w:rPr>
            </w:pPr>
            <w:r w:rsidRPr="00C85987">
              <w:rPr>
                <w:sz w:val="28"/>
              </w:rPr>
              <w:t>3. Pályázatok</w:t>
            </w:r>
            <w:r w:rsidR="00ED7E12">
              <w:rPr>
                <w:sz w:val="28"/>
              </w:rPr>
              <w:t xml:space="preserve"> (</w:t>
            </w:r>
            <w:r w:rsidR="00161A50">
              <w:rPr>
                <w:sz w:val="28"/>
              </w:rPr>
              <w:t>NEA</w:t>
            </w:r>
            <w:r w:rsidR="00ED7E12">
              <w:rPr>
                <w:sz w:val="28"/>
              </w:rPr>
              <w:t>)</w:t>
            </w:r>
            <w:r w:rsidRPr="00C85987">
              <w:rPr>
                <w:sz w:val="28"/>
              </w:rPr>
              <w:t>:</w:t>
            </w:r>
          </w:p>
          <w:p w:rsidR="001A3865" w:rsidRDefault="001A3865" w:rsidP="00C85987">
            <w:pPr>
              <w:spacing w:line="360" w:lineRule="auto"/>
              <w:jc w:val="both"/>
              <w:rPr>
                <w:sz w:val="28"/>
              </w:rPr>
            </w:pPr>
            <w:r w:rsidRPr="00C85987">
              <w:rPr>
                <w:sz w:val="28"/>
              </w:rPr>
              <w:t xml:space="preserve">4. MVSZ </w:t>
            </w:r>
            <w:r w:rsidR="00683A26" w:rsidRPr="00C85987">
              <w:rPr>
                <w:sz w:val="28"/>
              </w:rPr>
              <w:t>támogatás</w:t>
            </w:r>
            <w:r w:rsidRPr="00C85987">
              <w:rPr>
                <w:sz w:val="28"/>
              </w:rPr>
              <w:t>:</w:t>
            </w:r>
          </w:p>
          <w:p w:rsidR="00161A50" w:rsidRDefault="00161A50" w:rsidP="00C8598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proofErr w:type="spellStart"/>
            <w:r>
              <w:rPr>
                <w:sz w:val="28"/>
              </w:rPr>
              <w:t>Princes-Sin</w:t>
            </w:r>
            <w:proofErr w:type="spellEnd"/>
            <w:r>
              <w:rPr>
                <w:sz w:val="28"/>
              </w:rPr>
              <w:t xml:space="preserve"> Duó 2006 Kft támogatás:</w:t>
            </w:r>
          </w:p>
          <w:p w:rsidR="00161A50" w:rsidRPr="00C85987" w:rsidRDefault="00BD5D1D" w:rsidP="00C8598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161A50">
              <w:rPr>
                <w:sz w:val="28"/>
              </w:rPr>
              <w:t xml:space="preserve">. BSU  </w:t>
            </w:r>
          </w:p>
          <w:p w:rsidR="001A3865" w:rsidRDefault="00BD5D1D" w:rsidP="00C859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  <w:r w:rsidR="00683A26" w:rsidRPr="00C85987">
              <w:rPr>
                <w:sz w:val="28"/>
              </w:rPr>
              <w:t>. Banki kamat:</w:t>
            </w:r>
          </w:p>
          <w:p w:rsidR="004552BC" w:rsidRPr="00C85987" w:rsidRDefault="004552BC" w:rsidP="00C859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ÁFA</w:t>
            </w:r>
          </w:p>
        </w:tc>
        <w:tc>
          <w:tcPr>
            <w:tcW w:w="2852" w:type="dxa"/>
          </w:tcPr>
          <w:p w:rsidR="001A3865" w:rsidRPr="00C85987" w:rsidRDefault="00683A26" w:rsidP="00C85987">
            <w:pPr>
              <w:spacing w:line="360" w:lineRule="auto"/>
              <w:jc w:val="right"/>
              <w:rPr>
                <w:sz w:val="28"/>
              </w:rPr>
            </w:pPr>
            <w:r w:rsidRPr="00C85987">
              <w:rPr>
                <w:sz w:val="28"/>
              </w:rPr>
              <w:t>1</w:t>
            </w:r>
            <w:r w:rsidR="00AD5234" w:rsidRPr="00C85987">
              <w:rPr>
                <w:sz w:val="28"/>
              </w:rPr>
              <w:t>.</w:t>
            </w:r>
            <w:r w:rsidR="00161A50">
              <w:rPr>
                <w:sz w:val="28"/>
              </w:rPr>
              <w:t>66</w:t>
            </w:r>
            <w:r w:rsidR="00AD5234" w:rsidRPr="00C85987">
              <w:rPr>
                <w:sz w:val="28"/>
              </w:rPr>
              <w:t>0.000.-</w:t>
            </w:r>
          </w:p>
        </w:tc>
      </w:tr>
      <w:tr w:rsidR="001A3865" w:rsidRPr="00C85987" w:rsidTr="00C85987">
        <w:tc>
          <w:tcPr>
            <w:tcW w:w="6436" w:type="dxa"/>
            <w:gridSpan w:val="2"/>
            <w:vMerge/>
          </w:tcPr>
          <w:p w:rsidR="001A3865" w:rsidRPr="00C85987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</w:tcPr>
          <w:p w:rsidR="001A3865" w:rsidRPr="00C85987" w:rsidRDefault="00683A26" w:rsidP="00C85987">
            <w:pPr>
              <w:spacing w:line="360" w:lineRule="auto"/>
              <w:jc w:val="right"/>
              <w:rPr>
                <w:sz w:val="28"/>
              </w:rPr>
            </w:pPr>
            <w:r w:rsidRPr="00C85987">
              <w:rPr>
                <w:sz w:val="28"/>
              </w:rPr>
              <w:t>200</w:t>
            </w:r>
            <w:r w:rsidR="00AD5234" w:rsidRPr="00C85987">
              <w:rPr>
                <w:sz w:val="28"/>
              </w:rPr>
              <w:t>.000.-</w:t>
            </w:r>
          </w:p>
        </w:tc>
      </w:tr>
      <w:tr w:rsidR="001A3865" w:rsidRPr="00C85987" w:rsidTr="00C85987">
        <w:tc>
          <w:tcPr>
            <w:tcW w:w="6436" w:type="dxa"/>
            <w:gridSpan w:val="2"/>
            <w:vMerge/>
          </w:tcPr>
          <w:p w:rsidR="001A3865" w:rsidRPr="00C85987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</w:tcPr>
          <w:p w:rsidR="001A3865" w:rsidRPr="00C85987" w:rsidRDefault="00161A50" w:rsidP="00ED7E1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800</w:t>
            </w:r>
            <w:r w:rsidR="00AD5234" w:rsidRPr="00C85987">
              <w:rPr>
                <w:sz w:val="28"/>
              </w:rPr>
              <w:t>.000.-</w:t>
            </w:r>
          </w:p>
        </w:tc>
      </w:tr>
      <w:tr w:rsidR="001A3865" w:rsidRPr="00C85987" w:rsidTr="00C85987">
        <w:tc>
          <w:tcPr>
            <w:tcW w:w="6436" w:type="dxa"/>
            <w:gridSpan w:val="2"/>
            <w:vMerge/>
          </w:tcPr>
          <w:p w:rsidR="001A3865" w:rsidRPr="00C85987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</w:tcPr>
          <w:p w:rsidR="001A3865" w:rsidRDefault="00161A50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285.000</w:t>
            </w:r>
            <w:r w:rsidR="00AD5234" w:rsidRPr="00C85987">
              <w:rPr>
                <w:sz w:val="28"/>
              </w:rPr>
              <w:t>.-</w:t>
            </w:r>
          </w:p>
          <w:p w:rsidR="00161A50" w:rsidRDefault="00161A50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100.000.-</w:t>
            </w:r>
          </w:p>
          <w:p w:rsidR="00161A50" w:rsidRPr="00C85987" w:rsidRDefault="004552BC" w:rsidP="00161A5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  <w:r w:rsidR="00161A50">
              <w:rPr>
                <w:sz w:val="28"/>
              </w:rPr>
              <w:t>204.725.-</w:t>
            </w:r>
          </w:p>
        </w:tc>
      </w:tr>
      <w:tr w:rsidR="001A3865" w:rsidRPr="00C85987" w:rsidTr="00C85987">
        <w:tc>
          <w:tcPr>
            <w:tcW w:w="6436" w:type="dxa"/>
            <w:gridSpan w:val="2"/>
            <w:vMerge/>
            <w:tcBorders>
              <w:bottom w:val="single" w:sz="8" w:space="0" w:color="auto"/>
            </w:tcBorders>
          </w:tcPr>
          <w:p w:rsidR="001A3865" w:rsidRPr="00C85987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  <w:tcBorders>
              <w:bottom w:val="single" w:sz="8" w:space="0" w:color="auto"/>
            </w:tcBorders>
          </w:tcPr>
          <w:p w:rsidR="004552BC" w:rsidRDefault="00161A50" w:rsidP="004552BC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487</w:t>
            </w:r>
            <w:r w:rsidR="00AD5234" w:rsidRPr="00C85987">
              <w:rPr>
                <w:sz w:val="28"/>
              </w:rPr>
              <w:t>.-</w:t>
            </w:r>
          </w:p>
          <w:p w:rsidR="004552BC" w:rsidRPr="00C85987" w:rsidRDefault="004552BC" w:rsidP="00ED7E1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325.-</w:t>
            </w:r>
          </w:p>
        </w:tc>
      </w:tr>
      <w:tr w:rsidR="001A3865" w:rsidRPr="00C85987" w:rsidTr="00C85987">
        <w:tc>
          <w:tcPr>
            <w:tcW w:w="1383" w:type="dxa"/>
            <w:tcBorders>
              <w:top w:val="single" w:sz="8" w:space="0" w:color="auto"/>
            </w:tcBorders>
          </w:tcPr>
          <w:p w:rsidR="001A3865" w:rsidRPr="00C85987" w:rsidRDefault="001A3865" w:rsidP="00C85987">
            <w:pPr>
              <w:spacing w:line="360" w:lineRule="auto"/>
              <w:rPr>
                <w:b/>
                <w:sz w:val="28"/>
              </w:rPr>
            </w:pPr>
            <w:r w:rsidRPr="00C85987">
              <w:rPr>
                <w:b/>
                <w:sz w:val="28"/>
              </w:rPr>
              <w:t>Összesen:</w:t>
            </w:r>
          </w:p>
        </w:tc>
        <w:tc>
          <w:tcPr>
            <w:tcW w:w="5053" w:type="dxa"/>
            <w:tcBorders>
              <w:top w:val="single" w:sz="8" w:space="0" w:color="auto"/>
            </w:tcBorders>
          </w:tcPr>
          <w:p w:rsidR="001A3865" w:rsidRPr="00C85987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1A3865" w:rsidRPr="007903E3" w:rsidRDefault="004552BC" w:rsidP="007903E3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8"/>
              </w:rPr>
              <w:t>3</w:t>
            </w:r>
            <w:r w:rsidRPr="00C85987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250</w:t>
            </w:r>
            <w:r w:rsidRPr="00C85987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537</w:t>
            </w:r>
            <w:r w:rsidRPr="00C85987">
              <w:rPr>
                <w:b/>
                <w:sz w:val="28"/>
              </w:rPr>
              <w:t>.-</w:t>
            </w:r>
          </w:p>
        </w:tc>
      </w:tr>
    </w:tbl>
    <w:p w:rsidR="00676369" w:rsidRDefault="00AD5234">
      <w:pPr>
        <w:pStyle w:val="Cmsor1"/>
      </w:pPr>
      <w:r>
        <w:t>KIADÁS:</w:t>
      </w:r>
    </w:p>
    <w:p w:rsidR="001A3865" w:rsidRPr="00B92593" w:rsidRDefault="001A3865"/>
    <w:tbl>
      <w:tblPr>
        <w:tblW w:w="0" w:type="auto"/>
        <w:tblLook w:val="01E0"/>
      </w:tblPr>
      <w:tblGrid>
        <w:gridCol w:w="1383"/>
        <w:gridCol w:w="5053"/>
        <w:gridCol w:w="2852"/>
      </w:tblGrid>
      <w:tr w:rsidR="001A3865" w:rsidRPr="00C85987" w:rsidTr="00C85987">
        <w:tc>
          <w:tcPr>
            <w:tcW w:w="6436" w:type="dxa"/>
            <w:gridSpan w:val="2"/>
            <w:shd w:val="clear" w:color="auto" w:fill="auto"/>
          </w:tcPr>
          <w:p w:rsidR="001A3865" w:rsidRPr="00C85987" w:rsidRDefault="009A699A" w:rsidP="00B958F6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 xml:space="preserve">1. </w:t>
            </w:r>
            <w:r w:rsidR="00AD5234" w:rsidRPr="00C85987">
              <w:rPr>
                <w:sz w:val="28"/>
              </w:rPr>
              <w:t>S</w:t>
            </w:r>
            <w:r w:rsidR="00B958F6">
              <w:rPr>
                <w:sz w:val="28"/>
              </w:rPr>
              <w:t xml:space="preserve">zakmai </w:t>
            </w:r>
            <w:r w:rsidR="00AD5234" w:rsidRPr="00C85987">
              <w:rPr>
                <w:sz w:val="28"/>
              </w:rPr>
              <w:t>szolgáltatás</w:t>
            </w:r>
            <w:r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1A3865" w:rsidRPr="00C85987" w:rsidRDefault="00BD5D1D" w:rsidP="00BD5D1D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664</w:t>
            </w:r>
            <w:r w:rsidR="00AD5234" w:rsidRPr="00C85987">
              <w:rPr>
                <w:sz w:val="28"/>
              </w:rPr>
              <w:t>.</w:t>
            </w:r>
            <w:r>
              <w:rPr>
                <w:sz w:val="28"/>
              </w:rPr>
              <w:t>40</w:t>
            </w:r>
            <w:r w:rsidR="00AD5234" w:rsidRPr="00C85987">
              <w:rPr>
                <w:sz w:val="28"/>
              </w:rPr>
              <w:t>0.-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B2346A" w:rsidP="00B958F6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2</w:t>
            </w:r>
            <w:r w:rsidR="009A699A" w:rsidRPr="00C85987">
              <w:rPr>
                <w:sz w:val="28"/>
              </w:rPr>
              <w:t xml:space="preserve">. </w:t>
            </w:r>
            <w:r w:rsidR="00AD5234" w:rsidRPr="00C85987">
              <w:rPr>
                <w:sz w:val="28"/>
              </w:rPr>
              <w:t>Budapest Bajnokságok</w:t>
            </w:r>
            <w:r w:rsidR="00B958F6">
              <w:rPr>
                <w:sz w:val="28"/>
              </w:rPr>
              <w:t xml:space="preserve"> rendezési</w:t>
            </w:r>
            <w:r w:rsidRPr="00C85987">
              <w:rPr>
                <w:sz w:val="28"/>
              </w:rPr>
              <w:t xml:space="preserve"> támogatás</w:t>
            </w:r>
            <w:r w:rsidR="00B958F6">
              <w:rPr>
                <w:sz w:val="28"/>
              </w:rPr>
              <w:t>a</w:t>
            </w:r>
            <w:r w:rsidR="009A699A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9A699A" w:rsidRPr="00C85987" w:rsidRDefault="008B0DCF" w:rsidP="00B958F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D5234" w:rsidRPr="00C85987">
              <w:rPr>
                <w:sz w:val="28"/>
              </w:rPr>
              <w:t>.</w:t>
            </w:r>
            <w:r>
              <w:rPr>
                <w:sz w:val="28"/>
              </w:rPr>
              <w:t>900</w:t>
            </w:r>
            <w:r w:rsidR="00AD5234" w:rsidRPr="00C85987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="00AD5234" w:rsidRPr="00C85987">
              <w:rPr>
                <w:sz w:val="28"/>
              </w:rPr>
              <w:t>00.-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3</w:t>
            </w:r>
            <w:r w:rsidR="00AD5234" w:rsidRPr="00C85987">
              <w:rPr>
                <w:sz w:val="28"/>
              </w:rPr>
              <w:t>. Postaköltség</w:t>
            </w:r>
            <w:r w:rsidR="009A699A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9A699A" w:rsidRPr="00C85987" w:rsidRDefault="00BD5D1D" w:rsidP="00ED7E1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AD5234" w:rsidRPr="00C85987">
              <w:rPr>
                <w:sz w:val="28"/>
              </w:rPr>
              <w:t>.</w:t>
            </w:r>
            <w:r>
              <w:rPr>
                <w:sz w:val="28"/>
              </w:rPr>
              <w:t>235</w:t>
            </w:r>
            <w:r w:rsidR="00AD5234" w:rsidRPr="00C85987">
              <w:rPr>
                <w:sz w:val="28"/>
              </w:rPr>
              <w:t>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4</w:t>
            </w:r>
            <w:r w:rsidR="00AD5234" w:rsidRPr="00C85987">
              <w:rPr>
                <w:sz w:val="28"/>
              </w:rPr>
              <w:t xml:space="preserve">. Irodaszer, </w:t>
            </w:r>
            <w:r w:rsidR="00ED7E12">
              <w:rPr>
                <w:sz w:val="28"/>
              </w:rPr>
              <w:t xml:space="preserve">nyomtatvány, </w:t>
            </w:r>
            <w:r w:rsidR="00AD5234" w:rsidRPr="00C85987">
              <w:rPr>
                <w:sz w:val="28"/>
              </w:rPr>
              <w:t>fénymásolás</w:t>
            </w:r>
            <w:r w:rsidR="009A699A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9A699A" w:rsidRPr="00C85987" w:rsidRDefault="00BD5D1D" w:rsidP="00ED7E1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 w:rsidR="00AD5234" w:rsidRPr="00C85987">
              <w:rPr>
                <w:sz w:val="28"/>
              </w:rPr>
              <w:t>.</w:t>
            </w:r>
            <w:r>
              <w:rPr>
                <w:sz w:val="28"/>
              </w:rPr>
              <w:t>485</w:t>
            </w:r>
            <w:r w:rsidR="00AD5234" w:rsidRPr="00C85987">
              <w:rPr>
                <w:sz w:val="28"/>
              </w:rPr>
              <w:t>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8B0DCF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5</w:t>
            </w:r>
            <w:r w:rsidR="00435522" w:rsidRPr="00C85987">
              <w:rPr>
                <w:sz w:val="28"/>
              </w:rPr>
              <w:t>. Bank költség:</w:t>
            </w:r>
          </w:p>
          <w:p w:rsidR="00435522" w:rsidRPr="008B0DCF" w:rsidRDefault="008B0DCF" w:rsidP="008B0DCF">
            <w:pPr>
              <w:rPr>
                <w:sz w:val="28"/>
              </w:rPr>
            </w:pPr>
            <w:r>
              <w:rPr>
                <w:sz w:val="28"/>
              </w:rPr>
              <w:t>6. BSU edző képzés:</w:t>
            </w:r>
          </w:p>
        </w:tc>
        <w:tc>
          <w:tcPr>
            <w:tcW w:w="2852" w:type="dxa"/>
          </w:tcPr>
          <w:p w:rsidR="008B0DCF" w:rsidRDefault="00BD5D1D" w:rsidP="008B0DCF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 w:rsidR="00435522" w:rsidRPr="00C85987">
              <w:rPr>
                <w:sz w:val="28"/>
              </w:rPr>
              <w:t>.</w:t>
            </w:r>
            <w:r>
              <w:rPr>
                <w:sz w:val="28"/>
              </w:rPr>
              <w:t>512</w:t>
            </w:r>
            <w:r w:rsidR="00435522" w:rsidRPr="00C85987">
              <w:rPr>
                <w:sz w:val="28"/>
              </w:rPr>
              <w:t>.-</w:t>
            </w:r>
          </w:p>
          <w:p w:rsidR="008B0DCF" w:rsidRPr="00C85987" w:rsidRDefault="008B0DCF" w:rsidP="00ED7E1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260.000.-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8B0DCF" w:rsidP="00C859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  <w:r w:rsidR="00435522" w:rsidRPr="00C85987">
              <w:rPr>
                <w:sz w:val="28"/>
              </w:rPr>
              <w:t>. Egyéb költség:</w:t>
            </w:r>
          </w:p>
        </w:tc>
        <w:tc>
          <w:tcPr>
            <w:tcW w:w="2852" w:type="dxa"/>
          </w:tcPr>
          <w:p w:rsidR="00435522" w:rsidRPr="00C85987" w:rsidRDefault="00BD5D1D" w:rsidP="00ED7E1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 w:rsidR="00435522" w:rsidRPr="00C85987">
              <w:rPr>
                <w:sz w:val="28"/>
              </w:rPr>
              <w:t>.</w:t>
            </w:r>
            <w:r>
              <w:rPr>
                <w:sz w:val="28"/>
              </w:rPr>
              <w:t>00</w:t>
            </w:r>
            <w:r w:rsidR="00435522" w:rsidRPr="00C85987">
              <w:rPr>
                <w:sz w:val="28"/>
              </w:rPr>
              <w:t>0.-</w:t>
            </w:r>
          </w:p>
        </w:tc>
      </w:tr>
      <w:tr w:rsidR="008B0DCF" w:rsidRPr="00C85987" w:rsidTr="00C85987">
        <w:tc>
          <w:tcPr>
            <w:tcW w:w="6436" w:type="dxa"/>
            <w:gridSpan w:val="2"/>
            <w:shd w:val="clear" w:color="auto" w:fill="auto"/>
          </w:tcPr>
          <w:p w:rsidR="008B0DCF" w:rsidRDefault="008B0DCF" w:rsidP="00C859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8. NAV                                                                                                                                 </w:t>
            </w:r>
          </w:p>
        </w:tc>
        <w:tc>
          <w:tcPr>
            <w:tcW w:w="2852" w:type="dxa"/>
          </w:tcPr>
          <w:p w:rsidR="008B0DCF" w:rsidRDefault="008B0DCF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4000.-</w:t>
            </w:r>
          </w:p>
        </w:tc>
      </w:tr>
      <w:tr w:rsidR="008B0DCF" w:rsidRPr="00C85987" w:rsidTr="00C85987">
        <w:tc>
          <w:tcPr>
            <w:tcW w:w="6436" w:type="dxa"/>
            <w:gridSpan w:val="2"/>
            <w:shd w:val="clear" w:color="auto" w:fill="auto"/>
          </w:tcPr>
          <w:p w:rsidR="008B0DCF" w:rsidRPr="00C85987" w:rsidRDefault="008B0DCF" w:rsidP="003D5EC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  <w:r w:rsidRPr="00C85987">
              <w:rPr>
                <w:sz w:val="28"/>
              </w:rPr>
              <w:t>. Tagdíj (BS</w:t>
            </w:r>
            <w:r>
              <w:rPr>
                <w:sz w:val="28"/>
              </w:rPr>
              <w:t>U</w:t>
            </w:r>
            <w:r w:rsidRPr="00C85987">
              <w:rPr>
                <w:sz w:val="28"/>
              </w:rPr>
              <w:t>):</w:t>
            </w:r>
          </w:p>
        </w:tc>
        <w:tc>
          <w:tcPr>
            <w:tcW w:w="2852" w:type="dxa"/>
          </w:tcPr>
          <w:p w:rsidR="008B0DCF" w:rsidRPr="00C85987" w:rsidRDefault="008B0DCF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16.60</w:t>
            </w:r>
            <w:r w:rsidRPr="00C85987">
              <w:rPr>
                <w:sz w:val="28"/>
              </w:rPr>
              <w:t>0.-</w:t>
            </w:r>
          </w:p>
        </w:tc>
      </w:tr>
      <w:tr w:rsidR="008B0DCF" w:rsidRPr="004552BC" w:rsidTr="005E13EA">
        <w:tc>
          <w:tcPr>
            <w:tcW w:w="6436" w:type="dxa"/>
            <w:gridSpan w:val="2"/>
            <w:tcBorders>
              <w:top w:val="single" w:sz="8" w:space="0" w:color="auto"/>
            </w:tcBorders>
          </w:tcPr>
          <w:p w:rsidR="008B0DCF" w:rsidRPr="004552BC" w:rsidRDefault="008B0DCF" w:rsidP="004552BC">
            <w:pPr>
              <w:rPr>
                <w:b/>
                <w:sz w:val="28"/>
              </w:rPr>
            </w:pPr>
            <w:r w:rsidRPr="004552BC">
              <w:rPr>
                <w:b/>
                <w:sz w:val="28"/>
              </w:rPr>
              <w:t>Összesen:</w:t>
            </w: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8B0DCF" w:rsidRPr="004552BC" w:rsidRDefault="004552BC" w:rsidP="005E13EA">
            <w:pPr>
              <w:jc w:val="center"/>
              <w:rPr>
                <w:sz w:val="28"/>
              </w:rPr>
            </w:pPr>
            <w:r w:rsidRPr="004552BC">
              <w:rPr>
                <w:b/>
                <w:sz w:val="28"/>
              </w:rPr>
              <w:t xml:space="preserve">                   2.962.232.-</w:t>
            </w:r>
          </w:p>
        </w:tc>
      </w:tr>
      <w:tr w:rsidR="008B0DCF" w:rsidRPr="004552BC" w:rsidTr="00C85987">
        <w:tc>
          <w:tcPr>
            <w:tcW w:w="1383" w:type="dxa"/>
            <w:tcBorders>
              <w:top w:val="single" w:sz="8" w:space="0" w:color="auto"/>
            </w:tcBorders>
          </w:tcPr>
          <w:p w:rsidR="008B0DCF" w:rsidRPr="004552BC" w:rsidRDefault="008B0DCF" w:rsidP="00AE0F2E">
            <w:pPr>
              <w:rPr>
                <w:b/>
                <w:sz w:val="28"/>
              </w:rPr>
            </w:pPr>
          </w:p>
        </w:tc>
        <w:tc>
          <w:tcPr>
            <w:tcW w:w="5053" w:type="dxa"/>
            <w:tcBorders>
              <w:top w:val="single" w:sz="8" w:space="0" w:color="auto"/>
            </w:tcBorders>
          </w:tcPr>
          <w:p w:rsidR="008B0DCF" w:rsidRPr="004552BC" w:rsidRDefault="008B0DCF" w:rsidP="00AE0F2E">
            <w:pPr>
              <w:rPr>
                <w:sz w:val="28"/>
              </w:rPr>
            </w:pP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8B0DCF" w:rsidRPr="004552BC" w:rsidRDefault="008B0DCF" w:rsidP="003D5EC0">
            <w:pPr>
              <w:jc w:val="right"/>
              <w:rPr>
                <w:b/>
                <w:sz w:val="28"/>
              </w:rPr>
            </w:pPr>
          </w:p>
        </w:tc>
      </w:tr>
    </w:tbl>
    <w:p w:rsidR="001A3865" w:rsidRDefault="00B85072">
      <w:pPr>
        <w:rPr>
          <w:b/>
          <w:sz w:val="28"/>
        </w:rPr>
      </w:pPr>
      <w:r>
        <w:rPr>
          <w:b/>
          <w:sz w:val="28"/>
        </w:rPr>
        <w:t>Banki záró pénzkészlet: 474</w:t>
      </w:r>
      <w:r w:rsidR="007F34B0" w:rsidRPr="00C85987">
        <w:rPr>
          <w:b/>
          <w:sz w:val="28"/>
        </w:rPr>
        <w:t>.</w:t>
      </w:r>
      <w:r>
        <w:rPr>
          <w:b/>
          <w:sz w:val="28"/>
        </w:rPr>
        <w:t>528</w:t>
      </w:r>
      <w:r w:rsidR="007F34B0" w:rsidRPr="00C85987">
        <w:rPr>
          <w:b/>
          <w:sz w:val="28"/>
        </w:rPr>
        <w:t>.-</w:t>
      </w:r>
      <w:r w:rsidR="004552BC">
        <w:rPr>
          <w:b/>
          <w:sz w:val="28"/>
        </w:rPr>
        <w:t>Ft</w:t>
      </w:r>
    </w:p>
    <w:p w:rsidR="004552BC" w:rsidRDefault="004552BC">
      <w:pPr>
        <w:rPr>
          <w:b/>
          <w:sz w:val="28"/>
        </w:rPr>
      </w:pPr>
      <w:proofErr w:type="gramStart"/>
      <w:r w:rsidRPr="004552BC">
        <w:rPr>
          <w:b/>
          <w:bCs/>
          <w:sz w:val="28"/>
        </w:rPr>
        <w:t>pénztár</w:t>
      </w:r>
      <w:proofErr w:type="gramEnd"/>
      <w:r w:rsidRPr="004552BC">
        <w:rPr>
          <w:b/>
          <w:bCs/>
          <w:sz w:val="28"/>
        </w:rPr>
        <w:t xml:space="preserve"> nyitó pénzkészlet:  </w:t>
      </w:r>
      <w:r w:rsidRPr="004552BC">
        <w:rPr>
          <w:b/>
          <w:sz w:val="28"/>
        </w:rPr>
        <w:t xml:space="preserve">    75.-Ft </w:t>
      </w:r>
    </w:p>
    <w:p w:rsidR="004552BC" w:rsidRPr="004552BC" w:rsidRDefault="004552BC">
      <w:pPr>
        <w:rPr>
          <w:sz w:val="28"/>
        </w:rPr>
      </w:pPr>
      <w:proofErr w:type="gramStart"/>
      <w:r>
        <w:rPr>
          <w:b/>
          <w:sz w:val="28"/>
        </w:rPr>
        <w:t>záró</w:t>
      </w:r>
      <w:proofErr w:type="gramEnd"/>
      <w:r>
        <w:rPr>
          <w:b/>
          <w:sz w:val="28"/>
        </w:rPr>
        <w:t xml:space="preserve"> pénz</w:t>
      </w:r>
      <w:r w:rsidR="007903E3">
        <w:rPr>
          <w:b/>
          <w:sz w:val="28"/>
        </w:rPr>
        <w:t>készlet</w:t>
      </w:r>
      <w:r>
        <w:rPr>
          <w:b/>
          <w:sz w:val="28"/>
        </w:rPr>
        <w:t>:            474.603.-Ft</w:t>
      </w:r>
    </w:p>
    <w:sectPr w:rsidR="004552BC" w:rsidRPr="004552BC" w:rsidSect="0070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F22C1"/>
    <w:rsid w:val="0000472D"/>
    <w:rsid w:val="00093E82"/>
    <w:rsid w:val="00161A50"/>
    <w:rsid w:val="001A3865"/>
    <w:rsid w:val="002333AB"/>
    <w:rsid w:val="003179F9"/>
    <w:rsid w:val="00350AD4"/>
    <w:rsid w:val="003D5EC0"/>
    <w:rsid w:val="00435522"/>
    <w:rsid w:val="004552BC"/>
    <w:rsid w:val="00484908"/>
    <w:rsid w:val="004F79EB"/>
    <w:rsid w:val="00500A82"/>
    <w:rsid w:val="00561D05"/>
    <w:rsid w:val="005E13EA"/>
    <w:rsid w:val="005F22C1"/>
    <w:rsid w:val="006654E1"/>
    <w:rsid w:val="00676369"/>
    <w:rsid w:val="00683A26"/>
    <w:rsid w:val="006F53E2"/>
    <w:rsid w:val="00704B82"/>
    <w:rsid w:val="007903E3"/>
    <w:rsid w:val="007F34B0"/>
    <w:rsid w:val="00831448"/>
    <w:rsid w:val="00860FE8"/>
    <w:rsid w:val="008932A9"/>
    <w:rsid w:val="008B0DCF"/>
    <w:rsid w:val="00922CEF"/>
    <w:rsid w:val="00987C2A"/>
    <w:rsid w:val="009A699A"/>
    <w:rsid w:val="009C2B91"/>
    <w:rsid w:val="00AD5234"/>
    <w:rsid w:val="00AE0F2E"/>
    <w:rsid w:val="00B1342A"/>
    <w:rsid w:val="00B2346A"/>
    <w:rsid w:val="00B554B6"/>
    <w:rsid w:val="00B85072"/>
    <w:rsid w:val="00B92593"/>
    <w:rsid w:val="00B958F6"/>
    <w:rsid w:val="00BD5D1D"/>
    <w:rsid w:val="00C13870"/>
    <w:rsid w:val="00C824E9"/>
    <w:rsid w:val="00C85987"/>
    <w:rsid w:val="00ED7E12"/>
    <w:rsid w:val="00EF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04B82"/>
    <w:rPr>
      <w:sz w:val="24"/>
      <w:szCs w:val="24"/>
    </w:rPr>
  </w:style>
  <w:style w:type="paragraph" w:styleId="Cmsor1">
    <w:name w:val="heading 1"/>
    <w:basedOn w:val="Norml"/>
    <w:next w:val="Norml"/>
    <w:qFormat/>
    <w:rsid w:val="00704B82"/>
    <w:pPr>
      <w:keepNext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04B82"/>
    <w:pPr>
      <w:jc w:val="center"/>
    </w:pPr>
    <w:rPr>
      <w:b/>
      <w:bCs/>
    </w:rPr>
  </w:style>
  <w:style w:type="table" w:styleId="Rcsostblzat">
    <w:name w:val="Table Grid"/>
    <w:basedOn w:val="Normltblzat"/>
    <w:rsid w:val="001A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23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A3B88-4E9C-4DE5-902E-A1B4BFD3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Budapesti Vívó Szövetség 2003</vt:lpstr>
    </vt:vector>
  </TitlesOfParts>
  <Company>UTE Vívda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Budapesti Vívó Szövetség 2003</dc:title>
  <dc:creator>Mikulka</dc:creator>
  <cp:lastModifiedBy>Dezső</cp:lastModifiedBy>
  <cp:revision>4</cp:revision>
  <cp:lastPrinted>2013-03-19T16:20:00Z</cp:lastPrinted>
  <dcterms:created xsi:type="dcterms:W3CDTF">2013-03-28T09:31:00Z</dcterms:created>
  <dcterms:modified xsi:type="dcterms:W3CDTF">2013-03-28T09:55:00Z</dcterms:modified>
</cp:coreProperties>
</file>